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1D" w:rsidRDefault="005E2F1D" w:rsidP="005E2F1D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8080"/>
        </w:rPr>
        <w:t>ПЛАН НАУКОВИХ ЗАХОДІВ</w:t>
      </w:r>
    </w:p>
    <w:p w:rsidR="005E2F1D" w:rsidRPr="005E2F1D" w:rsidRDefault="005E2F1D" w:rsidP="005E2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E2F1D">
        <w:rPr>
          <w:rFonts w:ascii="Times New Roman" w:hAnsi="Times New Roman" w:cs="Times New Roman"/>
          <w:b/>
          <w:sz w:val="32"/>
          <w:szCs w:val="32"/>
        </w:rPr>
        <w:t xml:space="preserve">кадемічна доброчесність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5E2F1D">
        <w:rPr>
          <w:rFonts w:ascii="Times New Roman" w:hAnsi="Times New Roman" w:cs="Times New Roman"/>
          <w:b/>
          <w:sz w:val="32"/>
          <w:szCs w:val="32"/>
        </w:rPr>
        <w:t>2025</w:t>
      </w:r>
      <w:r w:rsidR="005C008B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5E2F1D" w:rsidRDefault="005E2F1D"/>
    <w:tbl>
      <w:tblPr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896"/>
        <w:gridCol w:w="1701"/>
        <w:gridCol w:w="1134"/>
        <w:gridCol w:w="1984"/>
      </w:tblGrid>
      <w:tr w:rsidR="005E66DD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заходу</w:t>
            </w: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ab/>
            </w:r>
          </w:p>
          <w:p w:rsidR="005E2F1D" w:rsidRPr="00E06403" w:rsidRDefault="005E2F1D" w:rsidP="005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Мета заходу</w:t>
            </w: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Цільова аудиторія</w:t>
            </w:r>
          </w:p>
          <w:p w:rsidR="005E2F1D" w:rsidRPr="00E06403" w:rsidRDefault="005E2F1D" w:rsidP="005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  <w:p w:rsidR="005E2F1D" w:rsidRPr="00E06403" w:rsidRDefault="005E2F1D" w:rsidP="005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874E5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4E5" w:rsidRPr="00E06403" w:rsidRDefault="00947620" w:rsidP="005E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="003874E5"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r w:rsidR="003874E5"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Академічна </w:t>
            </w:r>
            <w:proofErr w:type="spellStart"/>
            <w:r w:rsidR="003874E5"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недоброчесність</w:t>
            </w:r>
            <w:proofErr w:type="spellEnd"/>
            <w:r w:rsidR="003874E5"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мистецькому освітньому середовищі: хто винен?</w:t>
            </w:r>
            <w:r w:rsidR="003874E5"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4E5" w:rsidRPr="00E06403" w:rsidRDefault="003874E5" w:rsidP="00F50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творення конструктивного діалогу та підвищення обізнаності щодо складного питання академічної доброчесності в контексті мистецької освіти. Визначення поняття академічної </w:t>
            </w: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недоброчесності</w:t>
            </w:r>
            <w:proofErr w:type="spellEnd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мистецькому контексті. Аналіз причин виникнення академічної </w:t>
            </w: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недоброчесності</w:t>
            </w:r>
            <w:proofErr w:type="spellEnd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серед студентів і викладачів. Обговорення наслідків академічної </w:t>
            </w: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недоброчесності</w:t>
            </w:r>
            <w:proofErr w:type="spellEnd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особистості,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закладу вищої мистецької освіти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цілому.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Розробка стратегій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зап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обігання і протидії академічній </w:t>
            </w: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недоброчесності</w:t>
            </w:r>
            <w:proofErr w:type="spellEnd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Запобігання і протидії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академічній </w:t>
            </w:r>
            <w:proofErr w:type="spellStart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недоброчесності</w:t>
            </w:r>
            <w:proofErr w:type="spellEnd"/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створення більш чесного і прозорого академічного середо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вища в закладі вищої мистецької 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освіти.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4E5" w:rsidRPr="00E06403" w:rsidRDefault="003874E5" w:rsidP="003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здобувачі та</w:t>
            </w: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викладачі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4E5" w:rsidRPr="00E06403" w:rsidRDefault="003874E5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4E5" w:rsidRPr="00E06403" w:rsidRDefault="003874E5" w:rsidP="005E2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ФММХ</w:t>
            </w:r>
          </w:p>
          <w:p w:rsidR="003874E5" w:rsidRPr="00E06403" w:rsidRDefault="003874E5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Кондратенко Г.Г.</w:t>
            </w:r>
          </w:p>
        </w:tc>
      </w:tr>
      <w:tr w:rsidR="00F50037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Лекція «Академічна доброчесність як складова корпоративної культури Київського столичного університету імені Бориса Грінченка»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66DD" w:rsidP="00F5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Поглибити розуміння сутності ака</w:t>
            </w:r>
            <w:r w:rsidR="00ED4761" w:rsidRPr="00E06403">
              <w:rPr>
                <w:rFonts w:ascii="Times New Roman" w:hAnsi="Times New Roman" w:cs="Times New Roman"/>
                <w:sz w:val="24"/>
                <w:szCs w:val="24"/>
              </w:rPr>
              <w:t>демічної доброчесності як невід’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ємної складової корпоративної культури Київського столичного університету імені Бориса Грінченка, а також підвищити обізнаність студентів, </w:t>
            </w:r>
            <w:r w:rsidR="00F50037"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магістрантів,</w:t>
            </w:r>
            <w:r w:rsidR="00F50037"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викладачів про її значення для формування професійного 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середовища, побудованого на етичних принципах та довірі.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Студенти, магістранти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AC5839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 жовтня 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ФММХ</w:t>
            </w:r>
          </w:p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Андрощук Л.М</w:t>
            </w:r>
          </w:p>
        </w:tc>
      </w:tr>
      <w:tr w:rsidR="00F50037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EB43A0" w:rsidP="005E66D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Науково-практичний семінар</w:t>
            </w:r>
            <w:r w:rsidR="005E66DD" w:rsidRPr="00E06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="005E66DD"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Академічний </w:t>
            </w:r>
            <w:proofErr w:type="spellStart"/>
            <w:r w:rsidR="005E66DD" w:rsidRPr="00E06403">
              <w:rPr>
                <w:rFonts w:ascii="Times New Roman" w:hAnsi="Times New Roman" w:cs="Times New Roman"/>
                <w:sz w:val="24"/>
                <w:szCs w:val="24"/>
              </w:rPr>
              <w:t>етос</w:t>
            </w:r>
            <w:proofErr w:type="spellEnd"/>
            <w:r w:rsidR="005E66DD"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магістрів у контексті доброчесності в освітньому середовищі сучасного університету»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Розкрити сутність і структуру академічного </w:t>
            </w: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етосу</w:t>
            </w:r>
            <w:proofErr w:type="spellEnd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магістрів, визначити його взаємозв’язок із принципами академічної доброчесності та обґрунтувати шляхи формування академічного </w:t>
            </w: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етосу</w:t>
            </w:r>
            <w:proofErr w:type="spellEnd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магістрантів у сучасному освітньому середовищі університету</w:t>
            </w:r>
            <w:r w:rsidR="00ED4761" w:rsidRPr="00E06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ED4761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Студенти, магістранти, аспіранти, докторанти, молоді вчені, викладачі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березень</w:t>
            </w:r>
          </w:p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ФММХ</w:t>
            </w:r>
          </w:p>
          <w:p w:rsidR="005E2F1D" w:rsidRPr="00E06403" w:rsidRDefault="005E2F1D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Олексюк</w:t>
            </w:r>
            <w:proofErr w:type="spellEnd"/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</w:tc>
      </w:tr>
      <w:tr w:rsidR="00F50037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F50037" w:rsidP="005E66D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«Теоретичні та практичні засади проведення акторських тренінгів на розвиток уяви в контексті академічної доброчесності»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844" w:rsidRPr="00E06403" w:rsidRDefault="00EF5844" w:rsidP="00ED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Ознайомити учасників із теоретичними та практичними засадами проведення акторських тренінгів, спрямованих на розвиток уяви, із дотриманням принципів академічної доброчесності. Зокрема, звернути увагу на етичні аспекти використання авторських </w:t>
            </w: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, оригінальність творчих підходів та чесність у створенні акторського продукту.</w:t>
            </w:r>
          </w:p>
          <w:p w:rsidR="00F50037" w:rsidRPr="00E06403" w:rsidRDefault="00F50037" w:rsidP="005E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ED476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Студенти, викладачі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ED4761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квітень 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761" w:rsidRPr="00E06403" w:rsidRDefault="00ED4761" w:rsidP="00ED4761">
            <w:pPr>
              <w:pStyle w:val="a3"/>
              <w:spacing w:before="0" w:beforeAutospacing="0" w:after="0" w:afterAutospacing="0"/>
            </w:pPr>
            <w:r w:rsidRPr="00E06403">
              <w:rPr>
                <w:color w:val="222222"/>
              </w:rPr>
              <w:t>ФММХ</w:t>
            </w:r>
          </w:p>
          <w:p w:rsidR="00ED4761" w:rsidRPr="00E06403" w:rsidRDefault="00ED4761" w:rsidP="00ED4761">
            <w:pPr>
              <w:pStyle w:val="a3"/>
              <w:spacing w:before="0" w:beforeAutospacing="0" w:after="0" w:afterAutospacing="0"/>
            </w:pPr>
            <w:proofErr w:type="spellStart"/>
            <w:r w:rsidRPr="00E06403">
              <w:rPr>
                <w:color w:val="222222"/>
              </w:rPr>
              <w:t>Гринишин</w:t>
            </w:r>
            <w:proofErr w:type="spellEnd"/>
            <w:r w:rsidRPr="00E06403">
              <w:rPr>
                <w:color w:val="222222"/>
              </w:rPr>
              <w:t xml:space="preserve"> М.В.</w:t>
            </w:r>
          </w:p>
          <w:p w:rsidR="00F50037" w:rsidRPr="00E06403" w:rsidRDefault="00F50037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50037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ED4761" w:rsidP="00ED47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Панельна дискусія «</w:t>
            </w:r>
            <w:r w:rsidR="00EF5844" w:rsidRPr="00E06403">
              <w:rPr>
                <w:rFonts w:ascii="Times New Roman" w:hAnsi="Times New Roman" w:cs="Times New Roman"/>
                <w:sz w:val="24"/>
                <w:szCs w:val="24"/>
              </w:rPr>
              <w:t>Морал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ьні та етичні аспекти вокального виконавства в У</w:t>
            </w:r>
            <w:r w:rsidR="00EF5844" w:rsidRPr="00E06403">
              <w:rPr>
                <w:rFonts w:ascii="Times New Roman" w:hAnsi="Times New Roman" w:cs="Times New Roman"/>
                <w:sz w:val="24"/>
                <w:szCs w:val="24"/>
              </w:rPr>
              <w:t>ніверситеті: академічна доброчесність на сцені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ED4761" w:rsidP="004B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Поглибити розуміння моральних та етичних аспектів вокального виконавства, зокрема важливість </w:t>
            </w:r>
            <w:r w:rsidR="004B13F4"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творчої чесності, </w:t>
            </w: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 на сцені. Розглянути етичні норми взаємодії, відповідальність за збереження авторсь</w:t>
            </w:r>
            <w:r w:rsidR="004B13F4" w:rsidRPr="00E06403">
              <w:rPr>
                <w:rFonts w:ascii="Times New Roman" w:hAnsi="Times New Roman" w:cs="Times New Roman"/>
                <w:sz w:val="24"/>
                <w:szCs w:val="24"/>
              </w:rPr>
              <w:t>ких прав, чесність у виконанні.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ED4761" w:rsidP="004B1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Студенти, магістранти, аспіранти, викладачі, </w:t>
            </w:r>
            <w:r w:rsidR="004B13F4" w:rsidRPr="00E06403">
              <w:rPr>
                <w:rFonts w:ascii="Times New Roman" w:hAnsi="Times New Roman" w:cs="Times New Roman"/>
                <w:sz w:val="24"/>
                <w:szCs w:val="24"/>
              </w:rPr>
              <w:t>практикуючі вокалісти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4B13F4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037" w:rsidRPr="00E06403" w:rsidRDefault="004B13F4" w:rsidP="004B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ФММХ</w:t>
            </w:r>
          </w:p>
          <w:p w:rsidR="004B13F4" w:rsidRPr="00E06403" w:rsidRDefault="004B13F4" w:rsidP="004B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Заверуха</w:t>
            </w:r>
            <w:proofErr w:type="spellEnd"/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О.Л.</w:t>
            </w:r>
          </w:p>
          <w:p w:rsidR="004B13F4" w:rsidRPr="00E06403" w:rsidRDefault="004B13F4" w:rsidP="008C11E9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B13F4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3F4" w:rsidRPr="00E06403" w:rsidRDefault="004B13F4" w:rsidP="00ED476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Науково-інтерактивний </w:t>
            </w: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доброчесність: наукова етика, правила і принципи наукової спільноти»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1E9" w:rsidRPr="00E06403" w:rsidRDefault="008C11E9" w:rsidP="008C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 учасників з основними принципами академічної доброчесності, зокрема в наукових дослідженнях.</w:t>
            </w:r>
          </w:p>
          <w:p w:rsidR="004B13F4" w:rsidRPr="00E06403" w:rsidRDefault="008C11E9" w:rsidP="008C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Навчити практичному застосуванню правил наукової етики, уникненню плагіату, правильному цитуванню джерел. Розвивати вміння працювати в команді, критично мислити та приймати етичні рішення в науковому середовищі.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3F4" w:rsidRPr="00E06403" w:rsidRDefault="008C11E9" w:rsidP="008C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Студенти, магістранти, аспіранти, молоді вчені, викладачі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3F4" w:rsidRPr="00E06403" w:rsidRDefault="008C11E9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3F4" w:rsidRPr="00E06403" w:rsidRDefault="008C11E9" w:rsidP="008C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НТСАДМ </w:t>
            </w:r>
            <w:proofErr w:type="spellStart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>Процишина</w:t>
            </w:r>
            <w:proofErr w:type="spellEnd"/>
            <w:r w:rsidRPr="00E06403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</w:tc>
      </w:tr>
      <w:tr w:rsidR="00E06403" w:rsidRPr="00E06403" w:rsidTr="00D502C3">
        <w:trPr>
          <w:trHeight w:val="570"/>
          <w:jc w:val="center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403" w:rsidRPr="00E06403" w:rsidRDefault="00E06403" w:rsidP="00E064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proofErr w:type="spellStart"/>
            <w:r w:rsidRPr="00E06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Вебінар</w:t>
            </w:r>
            <w:proofErr w:type="spellEnd"/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06403" w:rsidRPr="00E06403" w:rsidRDefault="00E06403" w:rsidP="00E064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«Український та зарубіжний досвід реалізації принципів академічної доброчесності в освітньому процесі: мистецький фокус»</w:t>
            </w:r>
          </w:p>
          <w:p w:rsidR="00E06403" w:rsidRPr="00E06403" w:rsidRDefault="00E06403" w:rsidP="00E064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</w:p>
          <w:p w:rsidR="00E06403" w:rsidRPr="00E06403" w:rsidRDefault="00E06403" w:rsidP="00E0640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</w:p>
          <w:p w:rsidR="00E06403" w:rsidRPr="00E06403" w:rsidRDefault="00E06403" w:rsidP="00E0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403" w:rsidRPr="00E06403" w:rsidRDefault="00E06403" w:rsidP="008C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Популяризація принципів академічної доброчесності серед НПП, здобувачів мистецьких спеціальностей.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403" w:rsidRPr="00E06403" w:rsidRDefault="00C520EE" w:rsidP="00E064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здобувачі, </w:t>
            </w:r>
            <w:r w:rsidR="00E06403"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аспіранти, молоді вчені, науково-педагогічні працівники</w:t>
            </w:r>
          </w:p>
          <w:p w:rsidR="00E06403" w:rsidRPr="00E06403" w:rsidRDefault="00E06403" w:rsidP="008C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403" w:rsidRPr="00E06403" w:rsidRDefault="00E06403" w:rsidP="005E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листопад, 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403" w:rsidRPr="00E06403" w:rsidRDefault="00E06403" w:rsidP="00E0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ФММХ</w:t>
            </w:r>
          </w:p>
          <w:p w:rsidR="00E06403" w:rsidRPr="00E06403" w:rsidRDefault="00E06403" w:rsidP="00E064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E06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Малахова М.О., Ляшенко О.Д.</w:t>
            </w:r>
          </w:p>
          <w:bookmarkEnd w:id="0"/>
          <w:p w:rsidR="00E06403" w:rsidRPr="00E06403" w:rsidRDefault="00E06403" w:rsidP="008C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F5844" w:rsidRPr="003874E5" w:rsidRDefault="00EF5844">
      <w:pPr>
        <w:rPr>
          <w:rFonts w:ascii="Times New Roman" w:hAnsi="Times New Roman" w:cs="Times New Roman"/>
          <w:sz w:val="28"/>
          <w:szCs w:val="28"/>
        </w:rPr>
      </w:pPr>
    </w:p>
    <w:sectPr w:rsidR="00EF5844" w:rsidRPr="00387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DA0"/>
    <w:multiLevelType w:val="multilevel"/>
    <w:tmpl w:val="867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C4C78"/>
    <w:multiLevelType w:val="multilevel"/>
    <w:tmpl w:val="93A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44267"/>
    <w:multiLevelType w:val="multilevel"/>
    <w:tmpl w:val="3384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570EB"/>
    <w:multiLevelType w:val="multilevel"/>
    <w:tmpl w:val="780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04D96"/>
    <w:multiLevelType w:val="multilevel"/>
    <w:tmpl w:val="5B3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36452"/>
    <w:multiLevelType w:val="multilevel"/>
    <w:tmpl w:val="F8E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D03B6"/>
    <w:multiLevelType w:val="multilevel"/>
    <w:tmpl w:val="166E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33756"/>
    <w:multiLevelType w:val="multilevel"/>
    <w:tmpl w:val="574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1D"/>
    <w:rsid w:val="003874E5"/>
    <w:rsid w:val="004B13F4"/>
    <w:rsid w:val="005C008B"/>
    <w:rsid w:val="005E2F1D"/>
    <w:rsid w:val="005E66DD"/>
    <w:rsid w:val="006C2F5D"/>
    <w:rsid w:val="008C11E9"/>
    <w:rsid w:val="00947620"/>
    <w:rsid w:val="00AC5839"/>
    <w:rsid w:val="00C520EE"/>
    <w:rsid w:val="00D502C3"/>
    <w:rsid w:val="00E06403"/>
    <w:rsid w:val="00E26FB8"/>
    <w:rsid w:val="00EB43A0"/>
    <w:rsid w:val="00ED4761"/>
    <w:rsid w:val="00EF5844"/>
    <w:rsid w:val="00F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0BC1-5012-4F18-AECB-8DFE2791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E2F1D"/>
  </w:style>
  <w:style w:type="character" w:styleId="a4">
    <w:name w:val="Strong"/>
    <w:basedOn w:val="a0"/>
    <w:uiPriority w:val="22"/>
    <w:qFormat/>
    <w:rsid w:val="005E2F1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2F1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8</cp:revision>
  <dcterms:created xsi:type="dcterms:W3CDTF">2024-12-18T10:51:00Z</dcterms:created>
  <dcterms:modified xsi:type="dcterms:W3CDTF">2024-12-23T10:20:00Z</dcterms:modified>
</cp:coreProperties>
</file>